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41BB" w14:textId="7FE11C66" w:rsidR="00F3715E" w:rsidRPr="00341C74" w:rsidRDefault="00F3715E" w:rsidP="00F3715E">
      <w:pPr>
        <w:pStyle w:val="Title"/>
        <w:spacing w:before="240" w:after="240"/>
        <w:jc w:val="left"/>
        <w:rPr>
          <w:lang w:val="fr-CA"/>
        </w:rPr>
      </w:pPr>
      <w:r>
        <w:rPr>
          <w:noProof/>
        </w:rPr>
        <w:drawing>
          <wp:inline distT="0" distB="0" distL="0" distR="0" wp14:anchorId="779E2451" wp14:editId="08E43E00">
            <wp:extent cx="3600450" cy="447675"/>
            <wp:effectExtent l="0" t="0" r="0" b="9525"/>
            <wp:docPr id="2" name="Picture 2" descr="Tribunals Ontario&#10;Tribunaux décisionnels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s Ontario&#10;Tribunaux décisionnels Ontari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32B639B8" w14:textId="1002A8A7" w:rsidR="00974A4C" w:rsidRPr="005079B2" w:rsidRDefault="00974A4C" w:rsidP="00F3715E">
      <w:pPr>
        <w:pStyle w:val="Title"/>
        <w:spacing w:before="240" w:after="240"/>
        <w:jc w:val="left"/>
        <w:rPr>
          <w:lang w:val="en-CA"/>
        </w:rPr>
      </w:pPr>
      <w:r w:rsidRPr="005079B2">
        <w:rPr>
          <w:lang w:val="en-CA"/>
        </w:rPr>
        <w:t>Assessment Review Board</w:t>
      </w:r>
      <w:r w:rsidR="00341C74" w:rsidRPr="005079B2">
        <w:rPr>
          <w:lang w:val="en-CA"/>
        </w:rPr>
        <w:tab/>
      </w:r>
      <w:r w:rsidR="00341C74" w:rsidRPr="005079B2">
        <w:rPr>
          <w:lang w:val="en-CA"/>
        </w:rPr>
        <w:tab/>
      </w:r>
      <w:r w:rsidR="00341C74" w:rsidRPr="005079B2">
        <w:rPr>
          <w:lang w:val="en-CA"/>
        </w:rPr>
        <w:tab/>
      </w:r>
      <w:r w:rsidR="00341C74" w:rsidRPr="005079B2">
        <w:rPr>
          <w:lang w:val="en-CA"/>
        </w:rPr>
        <w:tab/>
      </w:r>
      <w:r w:rsidR="00341C74" w:rsidRPr="005079B2">
        <w:rPr>
          <w:lang w:val="en-CA"/>
        </w:rPr>
        <w:tab/>
      </w:r>
    </w:p>
    <w:p w14:paraId="30868685" w14:textId="77777777" w:rsidR="005C27EB" w:rsidRPr="005079B2" w:rsidRDefault="005C27EB" w:rsidP="005C27EB"/>
    <w:p w14:paraId="55AD6EC9" w14:textId="251C6EAE" w:rsidR="00974A4C" w:rsidRDefault="00974A4C" w:rsidP="005079B2">
      <w:pPr>
        <w:pStyle w:val="Heading1"/>
        <w:jc w:val="center"/>
        <w:rPr>
          <w:sz w:val="28"/>
          <w:szCs w:val="28"/>
        </w:rPr>
      </w:pPr>
      <w:r w:rsidRPr="005079B2">
        <w:rPr>
          <w:sz w:val="28"/>
          <w:szCs w:val="28"/>
        </w:rPr>
        <w:t>Practice Direction</w:t>
      </w:r>
      <w:r w:rsidR="00F3715E" w:rsidRPr="005079B2">
        <w:rPr>
          <w:sz w:val="28"/>
          <w:szCs w:val="28"/>
        </w:rPr>
        <w:t xml:space="preserve"> on </w:t>
      </w:r>
      <w:r w:rsidR="005C27EB" w:rsidRPr="005079B2">
        <w:rPr>
          <w:sz w:val="28"/>
          <w:szCs w:val="28"/>
        </w:rPr>
        <w:t xml:space="preserve">Settlement Conferences </w:t>
      </w:r>
      <w:r w:rsidR="005079B2">
        <w:rPr>
          <w:sz w:val="28"/>
          <w:szCs w:val="28"/>
        </w:rPr>
        <w:t>–</w:t>
      </w:r>
      <w:r w:rsidR="005C27EB" w:rsidRPr="005079B2">
        <w:rPr>
          <w:sz w:val="28"/>
          <w:szCs w:val="28"/>
        </w:rPr>
        <w:t xml:space="preserve"> Updated</w:t>
      </w:r>
    </w:p>
    <w:p w14:paraId="5FE5230A" w14:textId="779DA7E4" w:rsidR="005079B2" w:rsidRPr="005079B2" w:rsidRDefault="005079B2" w:rsidP="005079B2">
      <w:pPr>
        <w:jc w:val="center"/>
        <w:rPr>
          <w:rFonts w:ascii="Arial" w:hAnsi="Arial" w:cs="Arial"/>
          <w:lang w:val="fr-CA"/>
        </w:rPr>
      </w:pPr>
      <w:r w:rsidRPr="005079B2">
        <w:rPr>
          <w:rFonts w:ascii="Arial" w:hAnsi="Arial" w:cs="Arial"/>
          <w:lang w:val="fr-CA"/>
        </w:rPr>
        <w:t>(Disponible en f</w:t>
      </w:r>
      <w:r>
        <w:rPr>
          <w:rFonts w:ascii="Arial" w:hAnsi="Arial" w:cs="Arial"/>
          <w:lang w:val="fr-CA"/>
        </w:rPr>
        <w:t>rançais)</w:t>
      </w:r>
    </w:p>
    <w:p w14:paraId="3BFB3F98" w14:textId="575F57BC" w:rsidR="00974A4C" w:rsidRPr="005079B2" w:rsidRDefault="00A101B8" w:rsidP="00F3715E">
      <w:pPr>
        <w:pStyle w:val="Title"/>
        <w:spacing w:before="240" w:after="240"/>
        <w:jc w:val="left"/>
        <w:rPr>
          <w:bCs/>
          <w:lang w:val="fr-CA"/>
        </w:rPr>
      </w:pPr>
      <w:r w:rsidRPr="005079B2">
        <w:rPr>
          <w:lang w:val="fr-CA"/>
        </w:rPr>
        <w:t xml:space="preserve">Effective </w:t>
      </w:r>
      <w:r w:rsidR="00051104" w:rsidRPr="005079B2">
        <w:rPr>
          <w:lang w:val="fr-CA"/>
        </w:rPr>
        <w:t xml:space="preserve">April 1, </w:t>
      </w:r>
      <w:r w:rsidR="00F3715E" w:rsidRPr="005079B2">
        <w:rPr>
          <w:lang w:val="fr-CA"/>
        </w:rPr>
        <w:t>202</w:t>
      </w:r>
      <w:r w:rsidR="005C27EB" w:rsidRPr="005079B2">
        <w:rPr>
          <w:lang w:val="fr-CA"/>
        </w:rPr>
        <w:t>1</w:t>
      </w:r>
    </w:p>
    <w:p w14:paraId="11C1B1DB" w14:textId="2759CB70" w:rsidR="00F3715E" w:rsidRPr="005079B2" w:rsidRDefault="00F3715E" w:rsidP="005079B2">
      <w:pPr>
        <w:pStyle w:val="Title"/>
        <w:spacing w:after="160"/>
        <w:jc w:val="left"/>
      </w:pPr>
      <w:r w:rsidRPr="005079B2">
        <w:t>Background</w:t>
      </w:r>
    </w:p>
    <w:p w14:paraId="03FFDB36" w14:textId="77777777" w:rsidR="005C27EB" w:rsidRPr="005C27EB" w:rsidRDefault="005C27EB" w:rsidP="005C27EB">
      <w:pPr>
        <w:spacing w:after="240"/>
        <w:rPr>
          <w:rFonts w:ascii="Arial" w:hAnsi="Arial" w:cs="Arial"/>
          <w:sz w:val="24"/>
          <w:szCs w:val="24"/>
        </w:rPr>
      </w:pPr>
      <w:r w:rsidRPr="005C27EB">
        <w:rPr>
          <w:rFonts w:ascii="Arial" w:hAnsi="Arial" w:cs="Arial"/>
          <w:sz w:val="24"/>
          <w:szCs w:val="24"/>
        </w:rPr>
        <w:t>The purpose of this Practice Direction is to describe the Settlement Conference process, and to outline how the parties are to participate in a Settlement Conference.</w:t>
      </w:r>
    </w:p>
    <w:p w14:paraId="0989559A" w14:textId="77777777" w:rsidR="005C27EB" w:rsidRPr="005C27EB" w:rsidRDefault="005C27EB" w:rsidP="005079B2">
      <w:pPr>
        <w:pStyle w:val="Title"/>
        <w:spacing w:after="160"/>
        <w:jc w:val="left"/>
      </w:pPr>
      <w:r w:rsidRPr="005C27EB">
        <w:t>Procedure</w:t>
      </w:r>
    </w:p>
    <w:p w14:paraId="74A5A426" w14:textId="064B058A" w:rsidR="005C27EB" w:rsidRPr="005C27EB" w:rsidRDefault="005C27EB" w:rsidP="005C27EB">
      <w:pPr>
        <w:rPr>
          <w:rFonts w:ascii="Arial" w:hAnsi="Arial" w:cs="Arial"/>
          <w:sz w:val="24"/>
          <w:szCs w:val="24"/>
        </w:rPr>
      </w:pPr>
      <w:r w:rsidRPr="005C27EB">
        <w:rPr>
          <w:rFonts w:ascii="Arial" w:hAnsi="Arial" w:cs="Arial"/>
          <w:sz w:val="24"/>
          <w:szCs w:val="24"/>
        </w:rPr>
        <w:t xml:space="preserve">Pursuant to Rules 56 through </w:t>
      </w:r>
      <w:r>
        <w:rPr>
          <w:rFonts w:ascii="Arial" w:hAnsi="Arial" w:cs="Arial"/>
          <w:sz w:val="24"/>
          <w:szCs w:val="24"/>
        </w:rPr>
        <w:t>59</w:t>
      </w:r>
      <w:r w:rsidRPr="005C27EB">
        <w:rPr>
          <w:rFonts w:ascii="Arial" w:hAnsi="Arial" w:cs="Arial"/>
          <w:sz w:val="24"/>
          <w:szCs w:val="24"/>
        </w:rPr>
        <w:t xml:space="preserve">, a Settlement Conference is an appearance before the Board prior to the scheduling of a hearing, where the Presiding Board Member will meet with the parties to review the issues in dispute, </w:t>
      </w:r>
      <w:proofErr w:type="gramStart"/>
      <w:r w:rsidRPr="005C27EB">
        <w:rPr>
          <w:rFonts w:ascii="Arial" w:hAnsi="Arial" w:cs="Arial"/>
          <w:sz w:val="24"/>
          <w:szCs w:val="24"/>
        </w:rPr>
        <w:t>in order to</w:t>
      </w:r>
      <w:proofErr w:type="gramEnd"/>
      <w:r w:rsidRPr="005C27EB">
        <w:rPr>
          <w:rFonts w:ascii="Arial" w:hAnsi="Arial" w:cs="Arial"/>
          <w:sz w:val="24"/>
          <w:szCs w:val="24"/>
        </w:rPr>
        <w:t xml:space="preserve"> clarify and attempt to resolve some or all of the issues.</w:t>
      </w:r>
    </w:p>
    <w:p w14:paraId="11973048" w14:textId="69289C18" w:rsidR="005C27EB" w:rsidRPr="005C27EB" w:rsidRDefault="005C27EB" w:rsidP="005C27EB">
      <w:pPr>
        <w:rPr>
          <w:rFonts w:ascii="Arial" w:hAnsi="Arial" w:cs="Arial"/>
          <w:sz w:val="24"/>
          <w:szCs w:val="24"/>
        </w:rPr>
      </w:pPr>
      <w:r w:rsidRPr="005C27EB">
        <w:rPr>
          <w:rFonts w:ascii="Arial" w:hAnsi="Arial" w:cs="Arial"/>
          <w:sz w:val="24"/>
          <w:szCs w:val="24"/>
        </w:rPr>
        <w:t>If there are unresolved issues, the Presiding Member</w:t>
      </w:r>
      <w:r>
        <w:rPr>
          <w:rFonts w:ascii="Arial" w:hAnsi="Arial" w:cs="Arial"/>
          <w:sz w:val="24"/>
          <w:szCs w:val="24"/>
        </w:rPr>
        <w:t xml:space="preserve"> will schedule a full hearing for the remaining issues to be adjudicated. </w:t>
      </w:r>
      <w:r w:rsidRPr="005C27EB">
        <w:rPr>
          <w:rFonts w:ascii="Arial" w:hAnsi="Arial" w:cs="Arial"/>
          <w:sz w:val="24"/>
          <w:szCs w:val="24"/>
        </w:rPr>
        <w:t xml:space="preserve">At a Settlement Conference, the Presiding Member will focus primarily on the legal issues raised in the appeal.  </w:t>
      </w:r>
      <w:r>
        <w:rPr>
          <w:rFonts w:ascii="Arial" w:hAnsi="Arial" w:cs="Arial"/>
          <w:sz w:val="24"/>
          <w:szCs w:val="24"/>
        </w:rPr>
        <w:t>Settlement Conferences are</w:t>
      </w:r>
      <w:r w:rsidRPr="005C27EB">
        <w:rPr>
          <w:rFonts w:ascii="Arial" w:hAnsi="Arial" w:cs="Arial"/>
          <w:sz w:val="24"/>
          <w:szCs w:val="24"/>
        </w:rPr>
        <w:t xml:space="preserve"> beneficial, in that it affords the parties an opportunity to explore their underlying interests, which may be broader than the legal issues to be addressed in a hearing before the Board.  </w:t>
      </w:r>
      <w:r>
        <w:rPr>
          <w:rFonts w:ascii="Arial" w:hAnsi="Arial" w:cs="Arial"/>
          <w:sz w:val="24"/>
          <w:szCs w:val="24"/>
        </w:rPr>
        <w:t>P</w:t>
      </w:r>
      <w:r w:rsidRPr="005C27EB">
        <w:rPr>
          <w:rFonts w:ascii="Arial" w:hAnsi="Arial" w:cs="Arial"/>
          <w:sz w:val="24"/>
          <w:szCs w:val="24"/>
        </w:rPr>
        <w:t xml:space="preserve">arties </w:t>
      </w:r>
      <w:r>
        <w:rPr>
          <w:rFonts w:ascii="Arial" w:hAnsi="Arial" w:cs="Arial"/>
          <w:sz w:val="24"/>
          <w:szCs w:val="24"/>
        </w:rPr>
        <w:t xml:space="preserve">may benefit to the settlement conferences </w:t>
      </w:r>
      <w:r w:rsidRPr="005C27EB">
        <w:rPr>
          <w:rFonts w:ascii="Arial" w:hAnsi="Arial" w:cs="Arial"/>
          <w:sz w:val="24"/>
          <w:szCs w:val="24"/>
        </w:rPr>
        <w:t>to negotiate</w:t>
      </w:r>
      <w:r>
        <w:rPr>
          <w:rFonts w:ascii="Arial" w:hAnsi="Arial" w:cs="Arial"/>
          <w:sz w:val="24"/>
          <w:szCs w:val="24"/>
        </w:rPr>
        <w:t xml:space="preserve"> items such as:</w:t>
      </w:r>
    </w:p>
    <w:p w14:paraId="7023F1FA" w14:textId="77777777" w:rsidR="005C27EB" w:rsidRPr="005C27EB" w:rsidRDefault="005C27EB" w:rsidP="005C27EB">
      <w:pPr>
        <w:numPr>
          <w:ilvl w:val="0"/>
          <w:numId w:val="5"/>
        </w:numPr>
        <w:spacing w:before="120" w:after="0" w:line="240" w:lineRule="auto"/>
        <w:rPr>
          <w:rFonts w:ascii="Arial" w:hAnsi="Arial" w:cs="Arial"/>
          <w:sz w:val="24"/>
          <w:szCs w:val="24"/>
        </w:rPr>
      </w:pPr>
      <w:r w:rsidRPr="005C27EB">
        <w:rPr>
          <w:rFonts w:ascii="Arial" w:hAnsi="Arial" w:cs="Arial"/>
          <w:sz w:val="24"/>
          <w:szCs w:val="24"/>
        </w:rPr>
        <w:t xml:space="preserve">the issues or evidence are complex or </w:t>
      </w:r>
      <w:proofErr w:type="gramStart"/>
      <w:r w:rsidRPr="005C27EB">
        <w:rPr>
          <w:rFonts w:ascii="Arial" w:hAnsi="Arial" w:cs="Arial"/>
          <w:sz w:val="24"/>
          <w:szCs w:val="24"/>
        </w:rPr>
        <w:t>voluminous;</w:t>
      </w:r>
      <w:proofErr w:type="gramEnd"/>
    </w:p>
    <w:p w14:paraId="2E06EA06" w14:textId="77777777" w:rsidR="005C27EB" w:rsidRPr="005C27EB" w:rsidRDefault="005C27EB" w:rsidP="005C27EB">
      <w:pPr>
        <w:numPr>
          <w:ilvl w:val="0"/>
          <w:numId w:val="5"/>
        </w:numPr>
        <w:spacing w:before="120" w:after="0" w:line="240" w:lineRule="auto"/>
        <w:rPr>
          <w:rFonts w:ascii="Arial" w:hAnsi="Arial" w:cs="Arial"/>
          <w:sz w:val="24"/>
          <w:szCs w:val="24"/>
        </w:rPr>
      </w:pPr>
      <w:r w:rsidRPr="005C27EB">
        <w:rPr>
          <w:rFonts w:ascii="Arial" w:hAnsi="Arial" w:cs="Arial"/>
          <w:sz w:val="24"/>
          <w:szCs w:val="24"/>
        </w:rPr>
        <w:t>there are multiple parties to an appeal; or</w:t>
      </w:r>
    </w:p>
    <w:p w14:paraId="5A4CB8BA" w14:textId="55F93BC7" w:rsidR="005C27EB" w:rsidRDefault="005C27EB" w:rsidP="005C27EB">
      <w:pPr>
        <w:numPr>
          <w:ilvl w:val="0"/>
          <w:numId w:val="5"/>
        </w:numPr>
        <w:spacing w:before="120" w:after="0" w:line="240" w:lineRule="auto"/>
        <w:rPr>
          <w:rFonts w:ascii="Arial" w:hAnsi="Arial" w:cs="Arial"/>
          <w:sz w:val="24"/>
          <w:szCs w:val="24"/>
        </w:rPr>
      </w:pPr>
      <w:r w:rsidRPr="005C27EB">
        <w:rPr>
          <w:rFonts w:ascii="Arial" w:hAnsi="Arial" w:cs="Arial"/>
          <w:sz w:val="24"/>
          <w:szCs w:val="24"/>
        </w:rPr>
        <w:t xml:space="preserve">there are multiple appeals in respect of a property that are being heard at the same time. </w:t>
      </w:r>
    </w:p>
    <w:p w14:paraId="5577332F" w14:textId="77777777" w:rsidR="005C27EB" w:rsidRPr="005C27EB" w:rsidRDefault="005C27EB" w:rsidP="005C27EB">
      <w:pPr>
        <w:spacing w:before="120" w:after="0" w:line="240" w:lineRule="auto"/>
        <w:ind w:left="789"/>
        <w:rPr>
          <w:rFonts w:ascii="Arial" w:hAnsi="Arial" w:cs="Arial"/>
          <w:sz w:val="24"/>
          <w:szCs w:val="24"/>
        </w:rPr>
      </w:pPr>
    </w:p>
    <w:p w14:paraId="4C579B86" w14:textId="54C0B02A" w:rsidR="005C27EB" w:rsidRPr="005C27EB" w:rsidRDefault="005C27EB" w:rsidP="005C27EB">
      <w:pPr>
        <w:rPr>
          <w:rFonts w:ascii="Arial" w:hAnsi="Arial" w:cs="Arial"/>
          <w:sz w:val="24"/>
          <w:szCs w:val="24"/>
        </w:rPr>
      </w:pPr>
      <w:r>
        <w:rPr>
          <w:rFonts w:ascii="Arial" w:hAnsi="Arial" w:cs="Arial"/>
          <w:sz w:val="24"/>
          <w:szCs w:val="24"/>
        </w:rPr>
        <w:t>Once the settlement conference has concluded and the appeals have not resolved</w:t>
      </w:r>
      <w:r w:rsidRPr="005C27EB">
        <w:rPr>
          <w:rFonts w:ascii="Arial" w:hAnsi="Arial" w:cs="Arial"/>
          <w:sz w:val="24"/>
          <w:szCs w:val="24"/>
        </w:rPr>
        <w:t>, the Presiding Member will give procedural directions for the scheduling of the hearing, the exchange of witness statements, and any other directions to ensure the just, most expeditious and least expensive determination of every proceeding.</w:t>
      </w:r>
      <w:r>
        <w:rPr>
          <w:rFonts w:ascii="Arial" w:hAnsi="Arial" w:cs="Arial"/>
          <w:sz w:val="24"/>
          <w:szCs w:val="24"/>
        </w:rPr>
        <w:t xml:space="preserve">  </w:t>
      </w:r>
    </w:p>
    <w:p w14:paraId="644A7970" w14:textId="77777777" w:rsidR="005C27EB" w:rsidRDefault="005C27EB" w:rsidP="005C27EB">
      <w:pPr>
        <w:rPr>
          <w:rFonts w:ascii="Arial" w:hAnsi="Arial" w:cs="Arial"/>
          <w:b/>
          <w:sz w:val="24"/>
          <w:szCs w:val="24"/>
        </w:rPr>
      </w:pPr>
    </w:p>
    <w:p w14:paraId="1E69148F" w14:textId="7F330B6E" w:rsidR="005C27EB" w:rsidRPr="005C27EB" w:rsidRDefault="005C27EB" w:rsidP="005079B2">
      <w:pPr>
        <w:pStyle w:val="Title"/>
        <w:spacing w:after="160"/>
        <w:jc w:val="left"/>
      </w:pPr>
      <w:r w:rsidRPr="005C27EB">
        <w:t>Requirement to Serve and File a Settlement Conference Brief</w:t>
      </w:r>
    </w:p>
    <w:p w14:paraId="40466606" w14:textId="77777777" w:rsidR="005C27EB" w:rsidRPr="005C27EB" w:rsidRDefault="005C27EB" w:rsidP="005C27EB">
      <w:pPr>
        <w:rPr>
          <w:rFonts w:ascii="Arial" w:hAnsi="Arial" w:cs="Arial"/>
          <w:sz w:val="24"/>
          <w:szCs w:val="24"/>
        </w:rPr>
      </w:pPr>
      <w:r w:rsidRPr="005C27EB">
        <w:rPr>
          <w:rFonts w:ascii="Arial" w:hAnsi="Arial" w:cs="Arial"/>
          <w:sz w:val="24"/>
          <w:szCs w:val="24"/>
        </w:rPr>
        <w:t>Under the applicable Schedule of Events, before the Board will conduct a Settlement Conference, each party will be required to file its pleadings (Statement of Issues, Statement of Response, or Reply) and all documents on which the party intends to rely if the appeal proceeds to a hearing.   For a settlement conference, each party is also required to serve on all other parties, and file with the Board, a brief outlining:</w:t>
      </w:r>
    </w:p>
    <w:p w14:paraId="67C4D73C" w14:textId="77777777" w:rsidR="005C27EB" w:rsidRPr="005C27EB" w:rsidRDefault="005C27EB" w:rsidP="005C27EB">
      <w:pPr>
        <w:numPr>
          <w:ilvl w:val="0"/>
          <w:numId w:val="1"/>
        </w:numPr>
        <w:spacing w:before="120" w:after="0" w:line="240" w:lineRule="auto"/>
        <w:rPr>
          <w:rFonts w:ascii="Arial" w:hAnsi="Arial" w:cs="Arial"/>
          <w:sz w:val="24"/>
          <w:szCs w:val="24"/>
        </w:rPr>
      </w:pPr>
      <w:r w:rsidRPr="005C27EB">
        <w:rPr>
          <w:rFonts w:ascii="Arial" w:hAnsi="Arial" w:cs="Arial"/>
          <w:sz w:val="24"/>
          <w:szCs w:val="24"/>
        </w:rPr>
        <w:t xml:space="preserve">the issues in </w:t>
      </w:r>
      <w:proofErr w:type="gramStart"/>
      <w:r w:rsidRPr="005C27EB">
        <w:rPr>
          <w:rFonts w:ascii="Arial" w:hAnsi="Arial" w:cs="Arial"/>
          <w:sz w:val="24"/>
          <w:szCs w:val="24"/>
        </w:rPr>
        <w:t>dispute;</w:t>
      </w:r>
      <w:proofErr w:type="gramEnd"/>
    </w:p>
    <w:p w14:paraId="0581F796" w14:textId="77777777" w:rsidR="005C27EB" w:rsidRPr="005C27EB" w:rsidRDefault="005C27EB" w:rsidP="005C27EB">
      <w:pPr>
        <w:numPr>
          <w:ilvl w:val="0"/>
          <w:numId w:val="1"/>
        </w:numPr>
        <w:spacing w:before="120" w:after="0" w:line="240" w:lineRule="auto"/>
        <w:rPr>
          <w:rFonts w:ascii="Arial" w:hAnsi="Arial" w:cs="Arial"/>
          <w:sz w:val="24"/>
          <w:szCs w:val="24"/>
        </w:rPr>
      </w:pPr>
      <w:r w:rsidRPr="005C27EB">
        <w:rPr>
          <w:rFonts w:ascii="Arial" w:hAnsi="Arial" w:cs="Arial"/>
          <w:sz w:val="24"/>
          <w:szCs w:val="24"/>
        </w:rPr>
        <w:t>the party’s position on each issue; and</w:t>
      </w:r>
    </w:p>
    <w:p w14:paraId="6603E059" w14:textId="1821AEE8" w:rsidR="005C27EB" w:rsidRDefault="005C27EB" w:rsidP="005C27EB">
      <w:pPr>
        <w:numPr>
          <w:ilvl w:val="0"/>
          <w:numId w:val="1"/>
        </w:numPr>
        <w:spacing w:before="120" w:after="0" w:line="240" w:lineRule="auto"/>
        <w:rPr>
          <w:rFonts w:ascii="Arial" w:hAnsi="Arial" w:cs="Arial"/>
          <w:sz w:val="24"/>
          <w:szCs w:val="24"/>
        </w:rPr>
      </w:pPr>
      <w:r w:rsidRPr="005C27EB">
        <w:rPr>
          <w:rFonts w:ascii="Arial" w:hAnsi="Arial" w:cs="Arial"/>
          <w:sz w:val="24"/>
          <w:szCs w:val="24"/>
        </w:rPr>
        <w:t xml:space="preserve">an explanation of the reasons why the parties have adopted different positions on the issue. </w:t>
      </w:r>
    </w:p>
    <w:p w14:paraId="5F3FBF5D" w14:textId="77777777" w:rsidR="005C27EB" w:rsidRPr="005C27EB" w:rsidRDefault="005C27EB" w:rsidP="005C27EB">
      <w:pPr>
        <w:spacing w:before="120" w:after="0" w:line="240" w:lineRule="auto"/>
        <w:ind w:left="720"/>
        <w:rPr>
          <w:rFonts w:ascii="Arial" w:hAnsi="Arial" w:cs="Arial"/>
          <w:sz w:val="24"/>
          <w:szCs w:val="24"/>
        </w:rPr>
      </w:pPr>
    </w:p>
    <w:p w14:paraId="3DC2B2A3" w14:textId="77777777" w:rsidR="005C27EB" w:rsidRPr="005C27EB" w:rsidRDefault="005C27EB" w:rsidP="005C27EB">
      <w:pPr>
        <w:rPr>
          <w:rFonts w:ascii="Arial" w:hAnsi="Arial" w:cs="Arial"/>
          <w:sz w:val="24"/>
          <w:szCs w:val="24"/>
        </w:rPr>
      </w:pPr>
      <w:r w:rsidRPr="005C27EB">
        <w:rPr>
          <w:rFonts w:ascii="Arial" w:hAnsi="Arial" w:cs="Arial"/>
          <w:sz w:val="24"/>
          <w:szCs w:val="24"/>
        </w:rPr>
        <w:t xml:space="preserve">For example, if the appeal is pursuant to s.40 of the </w:t>
      </w:r>
      <w:r w:rsidRPr="005C27EB">
        <w:rPr>
          <w:rFonts w:ascii="Arial" w:hAnsi="Arial" w:cs="Arial"/>
          <w:i/>
          <w:sz w:val="24"/>
          <w:szCs w:val="24"/>
        </w:rPr>
        <w:t>Assessment Act</w:t>
      </w:r>
      <w:r w:rsidRPr="005C27EB">
        <w:rPr>
          <w:rFonts w:ascii="Arial" w:hAnsi="Arial" w:cs="Arial"/>
          <w:sz w:val="24"/>
          <w:szCs w:val="24"/>
        </w:rPr>
        <w:t xml:space="preserve">, where the issue in dispute is the correct current value of the property under appeal, it is not sufficient for the parties to each simply state their conclusion as to what the current value should be.  They also need to further clarify the specific issues to be addressed by the Board, by explaining precisely how their underlying assessments of property value differ, </w:t>
      </w:r>
      <w:proofErr w:type="gramStart"/>
      <w:r w:rsidRPr="005C27EB">
        <w:rPr>
          <w:rFonts w:ascii="Arial" w:hAnsi="Arial" w:cs="Arial"/>
          <w:sz w:val="24"/>
          <w:szCs w:val="24"/>
        </w:rPr>
        <w:t>e.g.</w:t>
      </w:r>
      <w:proofErr w:type="gramEnd"/>
      <w:r w:rsidRPr="005C27EB">
        <w:rPr>
          <w:rFonts w:ascii="Arial" w:hAnsi="Arial" w:cs="Arial"/>
          <w:sz w:val="24"/>
          <w:szCs w:val="24"/>
        </w:rPr>
        <w:t xml:space="preserve"> each party applied a different capitalization rate or fair market rent, or made different assumptions respecting functional or economic obsolescence, etc. </w:t>
      </w:r>
    </w:p>
    <w:p w14:paraId="0B628121" w14:textId="77777777" w:rsidR="005C27EB" w:rsidRPr="005C27EB" w:rsidRDefault="005C27EB" w:rsidP="005079B2">
      <w:pPr>
        <w:pStyle w:val="Title"/>
        <w:spacing w:after="160"/>
        <w:jc w:val="left"/>
      </w:pPr>
      <w:r w:rsidRPr="005C27EB">
        <w:t>Settlement Conference is a Confidential Hearing Event</w:t>
      </w:r>
    </w:p>
    <w:p w14:paraId="5D0089CE" w14:textId="350369DA" w:rsidR="005C27EB" w:rsidRPr="005C27EB" w:rsidRDefault="005C27EB" w:rsidP="005C27EB">
      <w:pPr>
        <w:rPr>
          <w:rFonts w:ascii="Arial" w:hAnsi="Arial" w:cs="Arial"/>
          <w:sz w:val="24"/>
          <w:szCs w:val="24"/>
        </w:rPr>
      </w:pPr>
      <w:r w:rsidRPr="005C27EB">
        <w:rPr>
          <w:rFonts w:ascii="Arial" w:hAnsi="Arial" w:cs="Arial"/>
          <w:sz w:val="24"/>
          <w:szCs w:val="24"/>
        </w:rPr>
        <w:t>The Settlement Conference is confidential.  Pursuant to Rule 5</w:t>
      </w:r>
      <w:r>
        <w:rPr>
          <w:rFonts w:ascii="Arial" w:hAnsi="Arial" w:cs="Arial"/>
          <w:sz w:val="24"/>
          <w:szCs w:val="24"/>
        </w:rPr>
        <w:t>8</w:t>
      </w:r>
      <w:r w:rsidRPr="005C27EB">
        <w:rPr>
          <w:rFonts w:ascii="Arial" w:hAnsi="Arial" w:cs="Arial"/>
          <w:sz w:val="24"/>
          <w:szCs w:val="24"/>
        </w:rPr>
        <w:t xml:space="preserve">, by participating in a settlement conference, all parties undertake to maintain confidentiality and non-disclosure in respect of the settlement conference.   Pursuant to Rule </w:t>
      </w:r>
      <w:r>
        <w:rPr>
          <w:rFonts w:ascii="Arial" w:hAnsi="Arial" w:cs="Arial"/>
          <w:sz w:val="24"/>
          <w:szCs w:val="24"/>
        </w:rPr>
        <w:t>59</w:t>
      </w:r>
      <w:r w:rsidRPr="005C27EB">
        <w:rPr>
          <w:rFonts w:ascii="Arial" w:hAnsi="Arial" w:cs="Arial"/>
          <w:sz w:val="24"/>
          <w:szCs w:val="24"/>
        </w:rPr>
        <w:t xml:space="preserve">, a Board Member who presides over a Settlement Conference will not be assigned as the adjudicator conducting the hearing of the appeal.  </w:t>
      </w:r>
    </w:p>
    <w:p w14:paraId="78B3943A" w14:textId="77B97118" w:rsidR="005C27EB" w:rsidRPr="005C27EB" w:rsidRDefault="005C27EB" w:rsidP="005C27EB">
      <w:pPr>
        <w:rPr>
          <w:rFonts w:ascii="Arial" w:hAnsi="Arial" w:cs="Arial"/>
          <w:sz w:val="24"/>
          <w:szCs w:val="24"/>
        </w:rPr>
      </w:pPr>
      <w:r w:rsidRPr="005C27EB">
        <w:rPr>
          <w:rFonts w:ascii="Arial" w:hAnsi="Arial" w:cs="Arial"/>
          <w:sz w:val="24"/>
          <w:szCs w:val="24"/>
        </w:rPr>
        <w:t xml:space="preserve">Pursuant to Rule </w:t>
      </w:r>
      <w:r>
        <w:rPr>
          <w:rFonts w:ascii="Arial" w:hAnsi="Arial" w:cs="Arial"/>
          <w:sz w:val="24"/>
          <w:szCs w:val="24"/>
        </w:rPr>
        <w:t>59</w:t>
      </w:r>
      <w:r w:rsidRPr="005C27EB">
        <w:rPr>
          <w:rFonts w:ascii="Arial" w:hAnsi="Arial" w:cs="Arial"/>
          <w:sz w:val="24"/>
          <w:szCs w:val="24"/>
        </w:rPr>
        <w:t xml:space="preserve">, a Board Member who presides over a Settlement Conference will only be assigned to conduct </w:t>
      </w:r>
      <w:r>
        <w:rPr>
          <w:rFonts w:ascii="Arial" w:hAnsi="Arial" w:cs="Arial"/>
          <w:sz w:val="24"/>
          <w:szCs w:val="24"/>
        </w:rPr>
        <w:t>the subsequent hearing</w:t>
      </w:r>
      <w:r w:rsidRPr="005C27EB">
        <w:rPr>
          <w:rFonts w:ascii="Arial" w:hAnsi="Arial" w:cs="Arial"/>
          <w:sz w:val="24"/>
          <w:szCs w:val="24"/>
        </w:rPr>
        <w:t>, with consent of the parties</w:t>
      </w:r>
      <w:r>
        <w:rPr>
          <w:rFonts w:ascii="Arial" w:hAnsi="Arial" w:cs="Arial"/>
          <w:sz w:val="24"/>
          <w:szCs w:val="24"/>
        </w:rPr>
        <w:t xml:space="preserve"> and the approval of the Board</w:t>
      </w:r>
      <w:r w:rsidRPr="005C27EB">
        <w:rPr>
          <w:rFonts w:ascii="Arial" w:hAnsi="Arial" w:cs="Arial"/>
          <w:sz w:val="24"/>
          <w:szCs w:val="24"/>
        </w:rPr>
        <w:t>.</w:t>
      </w:r>
    </w:p>
    <w:p w14:paraId="1C4A6098" w14:textId="77777777" w:rsidR="005C27EB" w:rsidRPr="005C27EB" w:rsidRDefault="005C27EB" w:rsidP="005C27EB">
      <w:pPr>
        <w:pStyle w:val="Heading1"/>
      </w:pPr>
    </w:p>
    <w:p w14:paraId="3ADE5397" w14:textId="77777777" w:rsidR="005C27EB" w:rsidRPr="005C27EB" w:rsidRDefault="005C27EB" w:rsidP="005C27EB">
      <w:pPr>
        <w:rPr>
          <w:rFonts w:ascii="Arial" w:hAnsi="Arial" w:cs="Arial"/>
          <w:b/>
          <w:bCs/>
          <w:sz w:val="28"/>
          <w:szCs w:val="28"/>
        </w:rPr>
      </w:pPr>
    </w:p>
    <w:sectPr w:rsidR="005C27EB" w:rsidRPr="005C27E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ECA7" w14:textId="77777777" w:rsidR="009E47AE" w:rsidRDefault="009E47AE" w:rsidP="00760D43">
      <w:pPr>
        <w:spacing w:after="0" w:line="240" w:lineRule="auto"/>
      </w:pPr>
      <w:r>
        <w:separator/>
      </w:r>
    </w:p>
  </w:endnote>
  <w:endnote w:type="continuationSeparator" w:id="0">
    <w:p w14:paraId="6E88A807" w14:textId="77777777" w:rsidR="009E47AE" w:rsidRDefault="009E47AE" w:rsidP="00760D43">
      <w:pPr>
        <w:spacing w:after="0" w:line="240" w:lineRule="auto"/>
      </w:pPr>
      <w:r>
        <w:continuationSeparator/>
      </w:r>
    </w:p>
  </w:endnote>
  <w:endnote w:type="continuationNotice" w:id="1">
    <w:p w14:paraId="07D3326B" w14:textId="77777777" w:rsidR="009E47AE" w:rsidRDefault="009E4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565" w14:textId="77777777" w:rsidR="00A6147B" w:rsidRDefault="00A61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67006"/>
      <w:docPartObj>
        <w:docPartGallery w:val="Page Numbers (Bottom of Page)"/>
        <w:docPartUnique/>
      </w:docPartObj>
    </w:sdtPr>
    <w:sdtEndPr>
      <w:rPr>
        <w:rFonts w:ascii="Arial" w:hAnsi="Arial" w:cs="Arial"/>
        <w:noProof/>
      </w:rPr>
    </w:sdtEndPr>
    <w:sdtContent>
      <w:p w14:paraId="230AB71B" w14:textId="6610E5E4" w:rsidR="00192188" w:rsidRPr="00192188" w:rsidRDefault="00192188">
        <w:pPr>
          <w:pStyle w:val="Footer"/>
          <w:jc w:val="right"/>
          <w:rPr>
            <w:rFonts w:ascii="Arial" w:hAnsi="Arial" w:cs="Arial"/>
          </w:rPr>
        </w:pPr>
        <w:r w:rsidRPr="00192188">
          <w:rPr>
            <w:rFonts w:ascii="Arial" w:hAnsi="Arial" w:cs="Arial"/>
          </w:rPr>
          <w:fldChar w:fldCharType="begin"/>
        </w:r>
        <w:r w:rsidRPr="00192188">
          <w:rPr>
            <w:rFonts w:ascii="Arial" w:hAnsi="Arial" w:cs="Arial"/>
          </w:rPr>
          <w:instrText xml:space="preserve"> PAGE   \* MERGEFORMAT </w:instrText>
        </w:r>
        <w:r w:rsidRPr="00192188">
          <w:rPr>
            <w:rFonts w:ascii="Arial" w:hAnsi="Arial" w:cs="Arial"/>
          </w:rPr>
          <w:fldChar w:fldCharType="separate"/>
        </w:r>
        <w:r w:rsidR="00494715">
          <w:rPr>
            <w:rFonts w:ascii="Arial" w:hAnsi="Arial" w:cs="Arial"/>
            <w:noProof/>
          </w:rPr>
          <w:t>1</w:t>
        </w:r>
        <w:r w:rsidRPr="00192188">
          <w:rPr>
            <w:rFonts w:ascii="Arial" w:hAnsi="Arial" w:cs="Arial"/>
            <w:noProof/>
          </w:rPr>
          <w:fldChar w:fldCharType="end"/>
        </w:r>
      </w:p>
    </w:sdtContent>
  </w:sdt>
  <w:p w14:paraId="0C2E53F1" w14:textId="77777777" w:rsidR="00192188" w:rsidRDefault="00192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744F" w14:textId="77777777" w:rsidR="00A6147B" w:rsidRDefault="00A61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4190" w14:textId="77777777" w:rsidR="009E47AE" w:rsidRDefault="009E47AE" w:rsidP="00760D43">
      <w:pPr>
        <w:spacing w:after="0" w:line="240" w:lineRule="auto"/>
      </w:pPr>
      <w:r>
        <w:separator/>
      </w:r>
    </w:p>
  </w:footnote>
  <w:footnote w:type="continuationSeparator" w:id="0">
    <w:p w14:paraId="17FDBF9B" w14:textId="77777777" w:rsidR="009E47AE" w:rsidRDefault="009E47AE" w:rsidP="00760D43">
      <w:pPr>
        <w:spacing w:after="0" w:line="240" w:lineRule="auto"/>
      </w:pPr>
      <w:r>
        <w:continuationSeparator/>
      </w:r>
    </w:p>
  </w:footnote>
  <w:footnote w:type="continuationNotice" w:id="1">
    <w:p w14:paraId="7908C7AC" w14:textId="77777777" w:rsidR="009E47AE" w:rsidRDefault="009E47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10C0" w14:textId="77777777" w:rsidR="00A6147B" w:rsidRDefault="00A61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50C" w14:textId="77777777" w:rsidR="00A6147B" w:rsidRDefault="00A61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311" w14:textId="77777777" w:rsidR="00A6147B" w:rsidRDefault="00A6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E6B"/>
    <w:multiLevelType w:val="hybridMultilevel"/>
    <w:tmpl w:val="2B2CB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1D1080"/>
    <w:multiLevelType w:val="hybridMultilevel"/>
    <w:tmpl w:val="46E88386"/>
    <w:lvl w:ilvl="0" w:tplc="10090001">
      <w:start w:val="1"/>
      <w:numFmt w:val="bullet"/>
      <w:lvlText w:val=""/>
      <w:lvlJc w:val="left"/>
      <w:pPr>
        <w:ind w:left="789" w:hanging="360"/>
      </w:pPr>
      <w:rPr>
        <w:rFonts w:ascii="Symbol" w:hAnsi="Symbol" w:hint="default"/>
      </w:rPr>
    </w:lvl>
    <w:lvl w:ilvl="1" w:tplc="10090003" w:tentative="1">
      <w:start w:val="1"/>
      <w:numFmt w:val="bullet"/>
      <w:lvlText w:val="o"/>
      <w:lvlJc w:val="left"/>
      <w:pPr>
        <w:ind w:left="1509" w:hanging="360"/>
      </w:pPr>
      <w:rPr>
        <w:rFonts w:ascii="Courier New" w:hAnsi="Courier New" w:cs="Courier New" w:hint="default"/>
      </w:rPr>
    </w:lvl>
    <w:lvl w:ilvl="2" w:tplc="10090005" w:tentative="1">
      <w:start w:val="1"/>
      <w:numFmt w:val="bullet"/>
      <w:lvlText w:val=""/>
      <w:lvlJc w:val="left"/>
      <w:pPr>
        <w:ind w:left="2229" w:hanging="360"/>
      </w:pPr>
      <w:rPr>
        <w:rFonts w:ascii="Wingdings" w:hAnsi="Wingdings" w:hint="default"/>
      </w:rPr>
    </w:lvl>
    <w:lvl w:ilvl="3" w:tplc="10090001" w:tentative="1">
      <w:start w:val="1"/>
      <w:numFmt w:val="bullet"/>
      <w:lvlText w:val=""/>
      <w:lvlJc w:val="left"/>
      <w:pPr>
        <w:ind w:left="2949" w:hanging="360"/>
      </w:pPr>
      <w:rPr>
        <w:rFonts w:ascii="Symbol" w:hAnsi="Symbol" w:hint="default"/>
      </w:rPr>
    </w:lvl>
    <w:lvl w:ilvl="4" w:tplc="10090003" w:tentative="1">
      <w:start w:val="1"/>
      <w:numFmt w:val="bullet"/>
      <w:lvlText w:val="o"/>
      <w:lvlJc w:val="left"/>
      <w:pPr>
        <w:ind w:left="3669" w:hanging="360"/>
      </w:pPr>
      <w:rPr>
        <w:rFonts w:ascii="Courier New" w:hAnsi="Courier New" w:cs="Courier New" w:hint="default"/>
      </w:rPr>
    </w:lvl>
    <w:lvl w:ilvl="5" w:tplc="10090005" w:tentative="1">
      <w:start w:val="1"/>
      <w:numFmt w:val="bullet"/>
      <w:lvlText w:val=""/>
      <w:lvlJc w:val="left"/>
      <w:pPr>
        <w:ind w:left="4389" w:hanging="360"/>
      </w:pPr>
      <w:rPr>
        <w:rFonts w:ascii="Wingdings" w:hAnsi="Wingdings" w:hint="default"/>
      </w:rPr>
    </w:lvl>
    <w:lvl w:ilvl="6" w:tplc="10090001" w:tentative="1">
      <w:start w:val="1"/>
      <w:numFmt w:val="bullet"/>
      <w:lvlText w:val=""/>
      <w:lvlJc w:val="left"/>
      <w:pPr>
        <w:ind w:left="5109" w:hanging="360"/>
      </w:pPr>
      <w:rPr>
        <w:rFonts w:ascii="Symbol" w:hAnsi="Symbol" w:hint="default"/>
      </w:rPr>
    </w:lvl>
    <w:lvl w:ilvl="7" w:tplc="10090003" w:tentative="1">
      <w:start w:val="1"/>
      <w:numFmt w:val="bullet"/>
      <w:lvlText w:val="o"/>
      <w:lvlJc w:val="left"/>
      <w:pPr>
        <w:ind w:left="5829" w:hanging="360"/>
      </w:pPr>
      <w:rPr>
        <w:rFonts w:ascii="Courier New" w:hAnsi="Courier New" w:cs="Courier New" w:hint="default"/>
      </w:rPr>
    </w:lvl>
    <w:lvl w:ilvl="8" w:tplc="10090005" w:tentative="1">
      <w:start w:val="1"/>
      <w:numFmt w:val="bullet"/>
      <w:lvlText w:val=""/>
      <w:lvlJc w:val="left"/>
      <w:pPr>
        <w:ind w:left="6549" w:hanging="360"/>
      </w:pPr>
      <w:rPr>
        <w:rFonts w:ascii="Wingdings" w:hAnsi="Wingdings" w:hint="default"/>
      </w:rPr>
    </w:lvl>
  </w:abstractNum>
  <w:abstractNum w:abstractNumId="2" w15:restartNumberingAfterBreak="0">
    <w:nsid w:val="58C539DA"/>
    <w:multiLevelType w:val="hybridMultilevel"/>
    <w:tmpl w:val="E2A67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7043FCB"/>
    <w:multiLevelType w:val="hybridMultilevel"/>
    <w:tmpl w:val="3246F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E82125E"/>
    <w:multiLevelType w:val="hybridMultilevel"/>
    <w:tmpl w:val="849E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8E"/>
    <w:rsid w:val="00034438"/>
    <w:rsid w:val="000443A4"/>
    <w:rsid w:val="00051104"/>
    <w:rsid w:val="00054840"/>
    <w:rsid w:val="00081E5B"/>
    <w:rsid w:val="00191CF1"/>
    <w:rsid w:val="00192188"/>
    <w:rsid w:val="001D0CC6"/>
    <w:rsid w:val="00202AE6"/>
    <w:rsid w:val="00274682"/>
    <w:rsid w:val="00296445"/>
    <w:rsid w:val="002976C5"/>
    <w:rsid w:val="002B6211"/>
    <w:rsid w:val="002E2C48"/>
    <w:rsid w:val="00341C74"/>
    <w:rsid w:val="00354F77"/>
    <w:rsid w:val="00382BBB"/>
    <w:rsid w:val="00391818"/>
    <w:rsid w:val="00427DD4"/>
    <w:rsid w:val="00494715"/>
    <w:rsid w:val="004E32E0"/>
    <w:rsid w:val="005079B2"/>
    <w:rsid w:val="00574F90"/>
    <w:rsid w:val="005C27EB"/>
    <w:rsid w:val="005E713E"/>
    <w:rsid w:val="006662E7"/>
    <w:rsid w:val="00686DCF"/>
    <w:rsid w:val="0072693B"/>
    <w:rsid w:val="007418A4"/>
    <w:rsid w:val="00760D43"/>
    <w:rsid w:val="007D343F"/>
    <w:rsid w:val="0083266F"/>
    <w:rsid w:val="00895C5D"/>
    <w:rsid w:val="008A398C"/>
    <w:rsid w:val="008E1AF0"/>
    <w:rsid w:val="008F3876"/>
    <w:rsid w:val="00916E18"/>
    <w:rsid w:val="00955827"/>
    <w:rsid w:val="00974A4C"/>
    <w:rsid w:val="009A31C9"/>
    <w:rsid w:val="009B7D6C"/>
    <w:rsid w:val="009E47AE"/>
    <w:rsid w:val="00A101B8"/>
    <w:rsid w:val="00A6147B"/>
    <w:rsid w:val="00AC276E"/>
    <w:rsid w:val="00B13C38"/>
    <w:rsid w:val="00B64403"/>
    <w:rsid w:val="00B81458"/>
    <w:rsid w:val="00BC301D"/>
    <w:rsid w:val="00BF6B23"/>
    <w:rsid w:val="00C023A0"/>
    <w:rsid w:val="00C03AAD"/>
    <w:rsid w:val="00CE3345"/>
    <w:rsid w:val="00D9799C"/>
    <w:rsid w:val="00DE3BF9"/>
    <w:rsid w:val="00DE588F"/>
    <w:rsid w:val="00E31330"/>
    <w:rsid w:val="00EB6663"/>
    <w:rsid w:val="00EC0B8E"/>
    <w:rsid w:val="00ED60EA"/>
    <w:rsid w:val="00F3715E"/>
    <w:rsid w:val="00F522B6"/>
    <w:rsid w:val="00F73808"/>
    <w:rsid w:val="00FD0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15A752"/>
  <w15:docId w15:val="{FA15E465-905F-4FAE-A0F4-EA692EC5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2B6"/>
    <w:pPr>
      <w:jc w:val="both"/>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A4"/>
    <w:rPr>
      <w:rFonts w:ascii="Tahoma" w:hAnsi="Tahoma" w:cs="Tahoma"/>
      <w:sz w:val="16"/>
      <w:szCs w:val="16"/>
    </w:rPr>
  </w:style>
  <w:style w:type="character" w:styleId="CommentReference">
    <w:name w:val="annotation reference"/>
    <w:basedOn w:val="DefaultParagraphFont"/>
    <w:uiPriority w:val="99"/>
    <w:semiHidden/>
    <w:unhideWhenUsed/>
    <w:rsid w:val="002976C5"/>
    <w:rPr>
      <w:sz w:val="16"/>
      <w:szCs w:val="16"/>
    </w:rPr>
  </w:style>
  <w:style w:type="paragraph" w:styleId="CommentText">
    <w:name w:val="annotation text"/>
    <w:basedOn w:val="Normal"/>
    <w:link w:val="CommentTextChar"/>
    <w:uiPriority w:val="99"/>
    <w:semiHidden/>
    <w:unhideWhenUsed/>
    <w:rsid w:val="002976C5"/>
    <w:pPr>
      <w:spacing w:line="240" w:lineRule="auto"/>
    </w:pPr>
    <w:rPr>
      <w:sz w:val="20"/>
      <w:szCs w:val="20"/>
    </w:rPr>
  </w:style>
  <w:style w:type="character" w:customStyle="1" w:styleId="CommentTextChar">
    <w:name w:val="Comment Text Char"/>
    <w:basedOn w:val="DefaultParagraphFont"/>
    <w:link w:val="CommentText"/>
    <w:uiPriority w:val="99"/>
    <w:semiHidden/>
    <w:rsid w:val="002976C5"/>
    <w:rPr>
      <w:sz w:val="20"/>
      <w:szCs w:val="20"/>
    </w:rPr>
  </w:style>
  <w:style w:type="paragraph" w:styleId="CommentSubject">
    <w:name w:val="annotation subject"/>
    <w:basedOn w:val="CommentText"/>
    <w:next w:val="CommentText"/>
    <w:link w:val="CommentSubjectChar"/>
    <w:uiPriority w:val="99"/>
    <w:semiHidden/>
    <w:unhideWhenUsed/>
    <w:rsid w:val="002976C5"/>
    <w:rPr>
      <w:b/>
      <w:bCs/>
    </w:rPr>
  </w:style>
  <w:style w:type="character" w:customStyle="1" w:styleId="CommentSubjectChar">
    <w:name w:val="Comment Subject Char"/>
    <w:basedOn w:val="CommentTextChar"/>
    <w:link w:val="CommentSubject"/>
    <w:uiPriority w:val="99"/>
    <w:semiHidden/>
    <w:rsid w:val="002976C5"/>
    <w:rPr>
      <w:b/>
      <w:bCs/>
      <w:sz w:val="20"/>
      <w:szCs w:val="20"/>
    </w:rPr>
  </w:style>
  <w:style w:type="paragraph" w:styleId="Header">
    <w:name w:val="header"/>
    <w:basedOn w:val="Normal"/>
    <w:link w:val="HeaderChar"/>
    <w:uiPriority w:val="99"/>
    <w:unhideWhenUsed/>
    <w:rsid w:val="0076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D43"/>
  </w:style>
  <w:style w:type="paragraph" w:styleId="Footer">
    <w:name w:val="footer"/>
    <w:basedOn w:val="Normal"/>
    <w:link w:val="FooterChar"/>
    <w:uiPriority w:val="99"/>
    <w:unhideWhenUsed/>
    <w:rsid w:val="0076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43"/>
  </w:style>
  <w:style w:type="paragraph" w:styleId="BodyTextIndent2">
    <w:name w:val="Body Text Indent 2"/>
    <w:basedOn w:val="Normal"/>
    <w:link w:val="BodyTextIndent2Char"/>
    <w:rsid w:val="00974A4C"/>
    <w:pPr>
      <w:spacing w:after="0" w:line="240" w:lineRule="auto"/>
      <w:ind w:left="1440"/>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974A4C"/>
    <w:rPr>
      <w:rFonts w:ascii="Arial" w:eastAsia="Times New Roman" w:hAnsi="Arial" w:cs="Times New Roman"/>
      <w:sz w:val="20"/>
      <w:szCs w:val="20"/>
      <w:lang w:val="en-US"/>
    </w:rPr>
  </w:style>
  <w:style w:type="paragraph" w:styleId="Title">
    <w:name w:val="Title"/>
    <w:basedOn w:val="BodyTextIndent2"/>
    <w:next w:val="Normal"/>
    <w:link w:val="TitleChar"/>
    <w:uiPriority w:val="10"/>
    <w:qFormat/>
    <w:rsid w:val="00F522B6"/>
    <w:pPr>
      <w:ind w:left="0"/>
      <w:jc w:val="center"/>
    </w:pPr>
    <w:rPr>
      <w:rFonts w:cs="Arial"/>
      <w:b/>
      <w:color w:val="000000"/>
      <w:spacing w:val="20"/>
      <w:sz w:val="24"/>
      <w:szCs w:val="24"/>
      <w:lang w:val="en"/>
    </w:rPr>
  </w:style>
  <w:style w:type="character" w:customStyle="1" w:styleId="TitleChar">
    <w:name w:val="Title Char"/>
    <w:basedOn w:val="DefaultParagraphFont"/>
    <w:link w:val="Title"/>
    <w:uiPriority w:val="10"/>
    <w:rsid w:val="00F522B6"/>
    <w:rPr>
      <w:rFonts w:ascii="Arial" w:eastAsia="Times New Roman" w:hAnsi="Arial" w:cs="Arial"/>
      <w:b/>
      <w:color w:val="000000"/>
      <w:spacing w:val="20"/>
      <w:sz w:val="24"/>
      <w:szCs w:val="24"/>
      <w:lang w:val="en"/>
    </w:rPr>
  </w:style>
  <w:style w:type="character" w:customStyle="1" w:styleId="Heading1Char">
    <w:name w:val="Heading 1 Char"/>
    <w:basedOn w:val="DefaultParagraphFont"/>
    <w:link w:val="Heading1"/>
    <w:uiPriority w:val="9"/>
    <w:rsid w:val="00F522B6"/>
    <w:rPr>
      <w:rFonts w:ascii="Arial" w:hAnsi="Arial" w:cs="Arial"/>
      <w:b/>
      <w:sz w:val="24"/>
      <w:szCs w:val="24"/>
    </w:rPr>
  </w:style>
  <w:style w:type="paragraph" w:styleId="ListParagraph">
    <w:name w:val="List Paragraph"/>
    <w:basedOn w:val="Normal"/>
    <w:uiPriority w:val="34"/>
    <w:qFormat/>
    <w:rsid w:val="00F37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5980">
      <w:bodyDiv w:val="1"/>
      <w:marLeft w:val="0"/>
      <w:marRight w:val="0"/>
      <w:marTop w:val="0"/>
      <w:marBottom w:val="0"/>
      <w:divBdr>
        <w:top w:val="none" w:sz="0" w:space="0" w:color="auto"/>
        <w:left w:val="none" w:sz="0" w:space="0" w:color="auto"/>
        <w:bottom w:val="none" w:sz="0" w:space="0" w:color="auto"/>
        <w:right w:val="none" w:sz="0" w:space="0" w:color="auto"/>
      </w:divBdr>
    </w:div>
    <w:div w:id="19807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1748.05C8AA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Settlement Conference Practice Direction English</vt:lpstr>
    </vt:vector>
  </TitlesOfParts>
  <Company>MGS</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Conference Practice Direction English</dc:title>
  <dc:creator>Cowan, Benson (MAG)</dc:creator>
  <cp:lastModifiedBy>Kappel, Alex (MAG)</cp:lastModifiedBy>
  <cp:revision>6</cp:revision>
  <cp:lastPrinted>2015-09-14T18:45:00Z</cp:lastPrinted>
  <dcterms:created xsi:type="dcterms:W3CDTF">2021-03-15T17:30:00Z</dcterms:created>
  <dcterms:modified xsi:type="dcterms:W3CDTF">2023-03-24T13:08:00Z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2023-03-17T19:07:03Z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696cb970-046a-48cb-a65e-dcc114960c53</vt:lpwstr>
  </property>
  <property fmtid="{D5CDD505-2E9C-101B-9397-08002B2CF9AE}" pid="8" name="MSIP_Label_034a106e-6316-442c-ad35-738afd673d2b_ContentBits">
    <vt:lpwstr>0</vt:lpwstr>
  </property>
</Properties>
</file>